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40"/>
      </w:pPr>
      <w:r>
        <w:rPr>
          <w:b/>
          <w:color w:val="1B365D"/>
          <w:sz w:val="40"/>
        </w:rPr>
        <w:t>全球通用集装箱规格尺寸与装载实操规范指南</w:t>
      </w:r>
    </w:p>
    <w:p>
      <w:pPr>
        <w:spacing w:after="240" w:line="300" w:lineRule="auto"/>
      </w:pPr>
      <w:r>
        <w:t>在国际物流与海运贸易中，集装箱（货柜）的标准化是确保全球供应链高效运转的核心。本文件详细解析了国际海运中最常用的通用集装箱（20尺、40尺、40尺高柜、45尺高柜以及冷藏箱等）的外部、内部及门开尺寸，并针对货物装柜时的“容积余量（空隙）”行业操作约定、不同箱型的装货方向与打托/散装方式进行了深度分析。</w:t>
      </w:r>
    </w:p>
    <w:p>
      <w:pPr>
        <w:spacing w:before="280" w:after="120"/>
      </w:pPr>
      <w:r>
        <w:rPr>
          <w:b/>
          <w:color w:val="1B365D"/>
          <w:sz w:val="28"/>
        </w:rPr>
        <w:t>一、 通用集装箱规格、尺寸及理论容积对照表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158"/>
        <w:gridCol w:w="2158"/>
        <w:gridCol w:w="2158"/>
        <w:gridCol w:w="2158"/>
        <w:gridCol w:w="2158"/>
        <w:gridCol w:w="2158"/>
        <w:gridCol w:w="2158"/>
      </w:tblGrid>
      <w:tr>
        <w:tc>
          <w:tcPr>
            <w:tcW w:type="dxa" w:w="1584"/>
            <w:shd w:fill="1B365D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箱型名称</w:t>
            </w:r>
          </w:p>
        </w:tc>
        <w:tc>
          <w:tcPr>
            <w:tcW w:type="dxa" w:w="2304"/>
            <w:shd w:fill="1B365D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外壁尺寸 (米)</w:t>
              <w:br/>
              <w:t>(长 × 宽 × 高)</w:t>
            </w:r>
          </w:p>
        </w:tc>
        <w:tc>
          <w:tcPr>
            <w:tcW w:type="dxa" w:w="2304"/>
            <w:shd w:fill="1B365D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内壁尺寸 (米)</w:t>
              <w:br/>
              <w:t>(长 × 宽 × 高)</w:t>
            </w:r>
          </w:p>
        </w:tc>
        <w:tc>
          <w:tcPr>
            <w:tcW w:type="dxa" w:w="1872"/>
            <w:shd w:fill="1B365D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门开尺寸 (米)</w:t>
              <w:br/>
              <w:t>(宽 × 高)</w:t>
            </w:r>
          </w:p>
        </w:tc>
        <w:tc>
          <w:tcPr>
            <w:tcW w:type="dxa" w:w="1440"/>
            <w:shd w:fill="1B365D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理论容积</w:t>
              <w:br/>
              <w:t>(立方米/CBM)</w:t>
            </w:r>
          </w:p>
        </w:tc>
        <w:tc>
          <w:tcPr>
            <w:tcW w:type="dxa" w:w="1584"/>
            <w:shd w:fill="1B365D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常见最大载重</w:t>
              <w:br/>
              <w:t>(吨/Tons)</w:t>
            </w:r>
          </w:p>
        </w:tc>
        <w:tc>
          <w:tcPr>
            <w:tcW w:type="dxa" w:w="3888"/>
            <w:shd w:fill="1B365D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主要适用货物类型</w:t>
            </w:r>
          </w:p>
        </w:tc>
      </w:tr>
      <w:tr>
        <w:tc>
          <w:tcPr>
            <w:tcW w:type="dxa" w:w="158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20尺普柜</w:t>
              <w:br/>
              <w:t>(20'GP / DV)</w:t>
            </w:r>
          </w:p>
        </w:tc>
        <w:tc>
          <w:tcPr>
            <w:tcW w:type="dxa" w:w="230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6.058 × 2.438 × 2.591</w:t>
            </w:r>
          </w:p>
        </w:tc>
        <w:tc>
          <w:tcPr>
            <w:tcW w:type="dxa" w:w="230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5.898 × 2.352 × 2.393</w:t>
            </w:r>
          </w:p>
        </w:tc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2.343 × 2.280</w:t>
            </w:r>
          </w:p>
        </w:tc>
        <w:tc>
          <w:tcPr>
            <w:tcW w:type="dxa" w:w="1440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约 33.2</w:t>
            </w:r>
          </w:p>
        </w:tc>
        <w:tc>
          <w:tcPr>
            <w:tcW w:type="dxa" w:w="158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约 25.0 - 28.0</w:t>
            </w:r>
          </w:p>
        </w:tc>
        <w:tc>
          <w:tcPr>
            <w:tcW w:type="dxa" w:w="388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重货、密度大、体积小的货物（如矿石、金属、重型机械、粮食散装、建材）。</w:t>
            </w:r>
          </w:p>
        </w:tc>
      </w:tr>
      <w:tr>
        <w:tc>
          <w:tcPr>
            <w:tcW w:type="dxa" w:w="158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left"/>
            </w:pPr>
            <w:r>
              <w:rPr>
                <w:sz w:val="18"/>
              </w:rPr>
              <w:t>40尺普柜</w:t>
              <w:br/>
              <w:t>(40'GP / DV)</w:t>
            </w:r>
          </w:p>
        </w:tc>
        <w:tc>
          <w:tcPr>
            <w:tcW w:type="dxa" w:w="230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12.192 × 2.438 × 2.591</w:t>
            </w:r>
          </w:p>
        </w:tc>
        <w:tc>
          <w:tcPr>
            <w:tcW w:type="dxa" w:w="230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12.032 × 2.352 × 2.393</w:t>
            </w:r>
          </w:p>
        </w:tc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2.343 × 2.280</w:t>
            </w:r>
          </w:p>
        </w:tc>
        <w:tc>
          <w:tcPr>
            <w:tcW w:type="dxa" w:w="1440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约 67.7</w:t>
            </w:r>
          </w:p>
        </w:tc>
        <w:tc>
          <w:tcPr>
            <w:tcW w:type="dxa" w:w="158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约 26.0 - 28.5</w:t>
            </w:r>
          </w:p>
        </w:tc>
        <w:tc>
          <w:tcPr>
            <w:tcW w:type="dxa" w:w="388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left"/>
            </w:pPr>
            <w:r>
              <w:rPr>
                <w:sz w:val="18"/>
              </w:rPr>
              <w:t>轻泡货、体积大但重量相对较轻的货物（如纺织品、家具、塑料制品、电子产品）。</w:t>
            </w:r>
          </w:p>
        </w:tc>
      </w:tr>
      <w:tr>
        <w:tc>
          <w:tcPr>
            <w:tcW w:type="dxa" w:w="158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40尺高柜</w:t>
              <w:br/>
              <w:t>(40'HQ / HC)</w:t>
            </w:r>
          </w:p>
        </w:tc>
        <w:tc>
          <w:tcPr>
            <w:tcW w:type="dxa" w:w="230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12.192 × 2.438 × 2.896</w:t>
            </w:r>
          </w:p>
        </w:tc>
        <w:tc>
          <w:tcPr>
            <w:tcW w:type="dxa" w:w="230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12.032 × 2.352 × 2.698</w:t>
            </w:r>
          </w:p>
        </w:tc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2.343 × 2.585</w:t>
            </w:r>
          </w:p>
        </w:tc>
        <w:tc>
          <w:tcPr>
            <w:tcW w:type="dxa" w:w="1440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约 76.4</w:t>
            </w:r>
          </w:p>
        </w:tc>
        <w:tc>
          <w:tcPr>
            <w:tcW w:type="dxa" w:w="158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约 26.0 - 29.0</w:t>
            </w:r>
          </w:p>
        </w:tc>
        <w:tc>
          <w:tcPr>
            <w:tcW w:type="dxa" w:w="388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高度较高或体积庞大的轻工产品。是目前国际海运最主力、性价比最高的箱型。</w:t>
            </w:r>
          </w:p>
        </w:tc>
      </w:tr>
      <w:tr>
        <w:tc>
          <w:tcPr>
            <w:tcW w:type="dxa" w:w="158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left"/>
            </w:pPr>
            <w:r>
              <w:rPr>
                <w:sz w:val="18"/>
              </w:rPr>
              <w:t>45尺高柜</w:t>
              <w:br/>
              <w:t>(45'HQ / HC)</w:t>
            </w:r>
          </w:p>
        </w:tc>
        <w:tc>
          <w:tcPr>
            <w:tcW w:type="dxa" w:w="230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13.716 × 2.438 × 2.896</w:t>
            </w:r>
          </w:p>
        </w:tc>
        <w:tc>
          <w:tcPr>
            <w:tcW w:type="dxa" w:w="230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13.556 × 2.352 × 2.698</w:t>
            </w:r>
          </w:p>
        </w:tc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2.343 × 2.585</w:t>
            </w:r>
          </w:p>
        </w:tc>
        <w:tc>
          <w:tcPr>
            <w:tcW w:type="dxa" w:w="1440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约 86.0</w:t>
            </w:r>
          </w:p>
        </w:tc>
        <w:tc>
          <w:tcPr>
            <w:tcW w:type="dxa" w:w="158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约 27.0 - 29.5</w:t>
            </w:r>
          </w:p>
        </w:tc>
        <w:tc>
          <w:tcPr>
            <w:tcW w:type="dxa" w:w="388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left"/>
            </w:pPr>
            <w:r>
              <w:rPr>
                <w:sz w:val="18"/>
              </w:rPr>
              <w:t>超大体积货物、大批量跨国长途运输、托盘化标准配载货物（北美航线较常用）。</w:t>
            </w:r>
          </w:p>
        </w:tc>
      </w:tr>
      <w:tr>
        <w:tc>
          <w:tcPr>
            <w:tcW w:type="dxa" w:w="158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20尺冷藏箱</w:t>
              <w:br/>
              <w:t>(20'RF)</w:t>
            </w:r>
          </w:p>
        </w:tc>
        <w:tc>
          <w:tcPr>
            <w:tcW w:type="dxa" w:w="230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6.058 × 2.438 × 2.591</w:t>
            </w:r>
          </w:p>
        </w:tc>
        <w:tc>
          <w:tcPr>
            <w:tcW w:type="dxa" w:w="230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5.445 × 2.260 × 2.274</w:t>
            </w:r>
          </w:p>
        </w:tc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2.260 × 2.210</w:t>
            </w:r>
          </w:p>
        </w:tc>
        <w:tc>
          <w:tcPr>
            <w:tcW w:type="dxa" w:w="1440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约 28.0</w:t>
            </w:r>
          </w:p>
        </w:tc>
        <w:tc>
          <w:tcPr>
            <w:tcW w:type="dxa" w:w="158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约 22.0 - 27.0</w:t>
            </w:r>
          </w:p>
        </w:tc>
        <w:tc>
          <w:tcPr>
            <w:tcW w:type="dxa" w:w="388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生鲜食品、化工品。内壁因保温层和冷冻机组占用，内尺寸及容积明显小于普柜。</w:t>
            </w:r>
          </w:p>
        </w:tc>
      </w:tr>
      <w:tr>
        <w:tc>
          <w:tcPr>
            <w:tcW w:type="dxa" w:w="158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left"/>
            </w:pPr>
            <w:r>
              <w:rPr>
                <w:sz w:val="18"/>
              </w:rPr>
              <w:t>40尺冷藏高柜</w:t>
              <w:br/>
              <w:t>(40'RH)</w:t>
            </w:r>
          </w:p>
        </w:tc>
        <w:tc>
          <w:tcPr>
            <w:tcW w:type="dxa" w:w="230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12.192 × 2.438 × 2.896</w:t>
            </w:r>
          </w:p>
        </w:tc>
        <w:tc>
          <w:tcPr>
            <w:tcW w:type="dxa" w:w="230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11.558 × 2.294 × 2.500</w:t>
            </w:r>
          </w:p>
        </w:tc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2.294 × 2.488</w:t>
            </w:r>
          </w:p>
        </w:tc>
        <w:tc>
          <w:tcPr>
            <w:tcW w:type="dxa" w:w="1440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约 66.2</w:t>
            </w:r>
          </w:p>
        </w:tc>
        <w:tc>
          <w:tcPr>
            <w:tcW w:type="dxa" w:w="158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center"/>
            </w:pPr>
            <w:r>
              <w:rPr>
                <w:sz w:val="18"/>
              </w:rPr>
              <w:t>约 26.0 - 29.0</w:t>
            </w:r>
          </w:p>
        </w:tc>
        <w:tc>
          <w:tcPr>
            <w:tcW w:type="dxa" w:w="388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4F7FA"/>
          </w:tcPr>
          <w:p>
            <w:pPr>
              <w:jc w:val="left"/>
            </w:pPr>
            <w:r>
              <w:rPr>
                <w:sz w:val="18"/>
              </w:rPr>
              <w:t>冷冻肉类、海鲜、新鲜水果、蔬菜、疫苗及精密感光化学品。内壁有通风不锈钢地板。</w:t>
            </w:r>
          </w:p>
        </w:tc>
      </w:tr>
    </w:tbl>
    <w:p>
      <w:pPr>
        <w:spacing w:before="320" w:after="120"/>
      </w:pPr>
      <w:r>
        <w:rPr>
          <w:b/>
          <w:color w:val="1B365D"/>
          <w:sz w:val="28"/>
        </w:rPr>
        <w:t>二、 货物装柜时的“留空隙”行业操作规范与实操约定</w:t>
      </w:r>
    </w:p>
    <w:p>
      <w:pPr>
        <w:spacing w:after="120"/>
      </w:pPr>
      <w:r>
        <w:t>在实际装载（装柜）中，货物的总体积绝不可能等于集装箱的理论内物理容积。行业内部存在明确的“实操约定”和安全预留空间规范：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776"/>
        <w:gridCol w:w="3776"/>
        <w:gridCol w:w="3776"/>
        <w:gridCol w:w="3776"/>
      </w:tblGrid>
      <w:tr>
        <w:tc>
          <w:tcPr>
            <w:tcW w:type="dxa" w:w="1872"/>
            <w:shd w:fill="4A6B82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分析维度</w:t>
            </w:r>
          </w:p>
        </w:tc>
        <w:tc>
          <w:tcPr>
            <w:tcW w:type="dxa" w:w="3744"/>
            <w:shd w:fill="4A6B82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行业实操约定与留空隙规范</w:t>
            </w:r>
          </w:p>
        </w:tc>
        <w:tc>
          <w:tcPr>
            <w:tcW w:type="dxa" w:w="5472"/>
            <w:shd w:fill="4A6B82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具体因由与科学依据</w:t>
            </w:r>
          </w:p>
        </w:tc>
        <w:tc>
          <w:tcPr>
            <w:tcW w:type="dxa" w:w="3888"/>
            <w:shd w:fill="4A6B82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典型预留数值 / 转化系数</w:t>
            </w:r>
          </w:p>
        </w:tc>
      </w:tr>
      <w:tr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胀箱预留</w:t>
              <w:br/>
              <w:t>(纸箱变形)</w:t>
            </w:r>
          </w:p>
        </w:tc>
        <w:tc>
          <w:tcPr>
            <w:tcW w:type="dxa" w:w="374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货物堆码后，底层纸箱由于受重压会产生轻微向外凸出（胀箱）。如果计算时贴紧内壁，实际装柜时会出现最后1-2排因太紧而无法塞入，或强行塞入导致集装箱凸出损坏。</w:t>
            </w:r>
          </w:p>
        </w:tc>
        <w:tc>
          <w:tcPr>
            <w:tcW w:type="dxa" w:w="54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纸箱受潮、叠压变形、内部填充物下沉，均会导致货物实际外径大于出厂测量纸箱尺寸。</w:t>
            </w:r>
          </w:p>
        </w:tc>
        <w:tc>
          <w:tcPr>
            <w:tcW w:type="dxa" w:w="388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长度方向：通常每排纸箱预留 1-2 厘米余量。</w:t>
              <w:br/>
              <w:t>宽度方向：总体预留 2-5 厘米余量。</w:t>
            </w:r>
          </w:p>
        </w:tc>
      </w:tr>
      <w:tr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0F4F8"/>
          </w:tcPr>
          <w:p>
            <w:pPr>
              <w:jc w:val="center"/>
            </w:pPr>
            <w:r>
              <w:rPr>
                <w:sz w:val="18"/>
              </w:rPr>
              <w:t>装卸间隙</w:t>
              <w:br/>
              <w:t>(纸箱/打托)</w:t>
            </w:r>
          </w:p>
        </w:tc>
        <w:tc>
          <w:tcPr>
            <w:tcW w:type="dxa" w:w="374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0F4F8"/>
          </w:tcPr>
          <w:p>
            <w:pPr>
              <w:jc w:val="left"/>
            </w:pPr>
            <w:r>
              <w:rPr>
                <w:sz w:val="18"/>
              </w:rPr>
              <w:t>无论是人工搬运还是叉车装卸，货物与集装箱内壁、货物与货物之间必须留有操作间隙，否则无法顺利推入或掏箱。</w:t>
            </w:r>
          </w:p>
        </w:tc>
        <w:tc>
          <w:tcPr>
            <w:tcW w:type="dxa" w:w="54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0F4F8"/>
          </w:tcPr>
          <w:p>
            <w:pPr>
              <w:jc w:val="left"/>
            </w:pPr>
            <w:r>
              <w:rPr>
                <w:sz w:val="18"/>
              </w:rPr>
              <w:t>叉车作业需要左右摆动空间，打托盘货物（Palletized）若无间隙会产生剧烈摩擦，导致托盘或外包装撕裂。</w:t>
            </w:r>
          </w:p>
        </w:tc>
        <w:tc>
          <w:tcPr>
            <w:tcW w:type="dxa" w:w="388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0F4F8"/>
          </w:tcPr>
          <w:p>
            <w:pPr>
              <w:jc w:val="left"/>
            </w:pPr>
            <w:r>
              <w:rPr>
                <w:sz w:val="18"/>
              </w:rPr>
              <w:t>托盘货物：托盘侧边与箱壁建议留 2-3 厘米。</w:t>
              <w:br/>
              <w:t>顶部高度：货物与集装箱顶部至少留 5-10 厘米操作空间。</w:t>
            </w:r>
          </w:p>
        </w:tc>
      </w:tr>
      <w:tr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冷藏箱(RF/RH)</w:t>
              <w:br/>
              <w:t>气流与红线约束</w:t>
            </w:r>
          </w:p>
        </w:tc>
        <w:tc>
          <w:tcPr>
            <w:tcW w:type="dxa" w:w="374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冷藏集装箱的装载有极为严格的“冷风循环空隙”强制约定。货柜内壁顶部有鲜红色的“LOAD LINE”（装载红线），货物绝对不可超过该高度；地板为T型格栅，必须保持空气流通。</w:t>
            </w:r>
          </w:p>
        </w:tc>
        <w:tc>
          <w:tcPr>
            <w:tcW w:type="dxa" w:w="54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冷箱是通过底部吹出冷风、顶部回风的方式进行控温。如果顶部堵死或前部塞满，冷风无法循环，会导致局部货物坏死或冻伤。</w:t>
            </w:r>
          </w:p>
        </w:tc>
        <w:tc>
          <w:tcPr>
            <w:tcW w:type="dxa" w:w="388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顶部红线：货物距离顶部必须留出 30-40 厘米空隙。</w:t>
              <w:br/>
              <w:t>尾部：门边缘需留 10-15 厘米回风区。</w:t>
            </w:r>
          </w:p>
        </w:tc>
      </w:tr>
      <w:tr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0F4F8"/>
          </w:tcPr>
          <w:p>
            <w:pPr>
              <w:jc w:val="center"/>
            </w:pPr>
            <w:r>
              <w:rPr>
                <w:sz w:val="18"/>
              </w:rPr>
              <w:t>实操积载因数</w:t>
              <w:br/>
              <w:t>(Volume Factor)</w:t>
            </w:r>
          </w:p>
        </w:tc>
        <w:tc>
          <w:tcPr>
            <w:tcW w:type="dxa" w:w="374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0F4F8"/>
          </w:tcPr>
          <w:p>
            <w:pPr>
              <w:jc w:val="left"/>
            </w:pPr>
            <w:r>
              <w:rPr>
                <w:sz w:val="18"/>
              </w:rPr>
              <w:t>行业货代和工厂在计算配载（装箱率）时，会直接采用“装箱系数”进行打折，而非使用物理绝对内径。</w:t>
            </w:r>
          </w:p>
        </w:tc>
        <w:tc>
          <w:tcPr>
            <w:tcW w:type="dxa" w:w="54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0F4F8"/>
          </w:tcPr>
          <w:p>
            <w:pPr>
              <w:jc w:val="left"/>
            </w:pPr>
            <w:r>
              <w:rPr>
                <w:sz w:val="18"/>
              </w:rPr>
              <w:t>规避纸箱不规则、人工堆码不齐整、集装箱内角（如角件凸出、底部斜角）造成的空间死角。</w:t>
            </w:r>
          </w:p>
        </w:tc>
        <w:tc>
          <w:tcPr>
            <w:tcW w:type="dxa" w:w="388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0F4F8"/>
          </w:tcPr>
          <w:p>
            <w:pPr>
              <w:jc w:val="left"/>
            </w:pPr>
            <w:r>
              <w:rPr>
                <w:sz w:val="18"/>
              </w:rPr>
              <w:t>打托货物：实际可装体积约等于理论体积的 75% - 80%。</w:t>
              <w:br/>
              <w:t>散装纸箱（人工拼摆）：实际可装体积约等于理论体积的 85% - 90%（20尺约装28CBM，40尺约装58CBM，40高柜约装68CBM）。</w:t>
            </w:r>
          </w:p>
        </w:tc>
      </w:tr>
      <w:tr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加固与填充</w:t>
              <w:br/>
              <w:t>(Dunnage / Lashing)</w:t>
            </w:r>
          </w:p>
        </w:tc>
        <w:tc>
          <w:tcPr>
            <w:tcW w:type="dxa" w:w="374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若货物未装满，空隙处必须使用充气袋（Air Bag）、木方或绑扎带进行加固，不允许有自由移动的空间。</w:t>
            </w:r>
          </w:p>
        </w:tc>
        <w:tc>
          <w:tcPr>
            <w:tcW w:type="dxa" w:w="54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海上运输会有剧烈的纵摇和横摇，自由空隙会导致货物在箱内撞击、倾倒，引发群体性破损或严重的重心偏移导致翻船。</w:t>
            </w:r>
          </w:p>
        </w:tc>
        <w:tc>
          <w:tcPr>
            <w:tcW w:type="dxa" w:w="388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当货物间空隙超过 15 厘米时，必须使用充气袋或木架固定。</w:t>
            </w:r>
          </w:p>
        </w:tc>
      </w:tr>
    </w:tbl>
    <w:p>
      <w:pPr>
        <w:spacing w:before="320" w:after="120"/>
      </w:pPr>
      <w:r>
        <w:rPr>
          <w:b/>
          <w:color w:val="1B365D"/>
          <w:sz w:val="28"/>
        </w:rPr>
        <w:t>三、 不同集装箱的装货方向与装载方式差异详细说明</w:t>
      </w:r>
    </w:p>
    <w:p>
      <w:pPr>
        <w:spacing w:after="120"/>
      </w:pPr>
      <w:r>
        <w:t>根据集装箱的结构特性（普柜、高柜、冷箱、框架箱等）以及货物的包装形式（散箱、打托盘），其装货方向和方式存在本质区别。以下为核心差异对比：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776"/>
        <w:gridCol w:w="3776"/>
        <w:gridCol w:w="3776"/>
        <w:gridCol w:w="3776"/>
      </w:tblGrid>
      <w:tr>
        <w:tc>
          <w:tcPr>
            <w:tcW w:type="dxa" w:w="1872"/>
            <w:shd w:fill="2E5B82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集装箱类型</w:t>
            </w:r>
          </w:p>
        </w:tc>
        <w:tc>
          <w:tcPr>
            <w:tcW w:type="dxa" w:w="3168"/>
            <w:shd w:fill="2E5B82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主要装载方式</w:t>
            </w:r>
          </w:p>
        </w:tc>
        <w:tc>
          <w:tcPr>
            <w:tcW w:type="dxa" w:w="5472"/>
            <w:shd w:fill="2E5B82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装货方向与排列实操</w:t>
            </w:r>
          </w:p>
        </w:tc>
        <w:tc>
          <w:tcPr>
            <w:tcW w:type="dxa" w:w="4464"/>
            <w:shd w:fill="2E5B82"/>
            <w:tcMar>
              <w:top w:w="120" w:type="dxa"/>
              <w:bottom w:w="12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核心区别与注意事项</w:t>
            </w:r>
          </w:p>
        </w:tc>
      </w:tr>
      <w:tr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普通干货箱</w:t>
              <w:br/>
              <w:t>(20'GP / 40'GP)</w:t>
            </w:r>
          </w:p>
        </w:tc>
        <w:tc>
          <w:tcPr>
            <w:tcW w:type="dxa" w:w="316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1. 人工重叠散装（Maximize Volume）</w:t>
              <w:br/>
              <w:t>2. 标准托盘化装载（Palletized）</w:t>
            </w:r>
          </w:p>
        </w:tc>
        <w:tc>
          <w:tcPr>
            <w:tcW w:type="dxa" w:w="54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• 散装纸箱：通常从箱底最内侧开始，采用“砌墙式”纵横交错逐层往外堆码，以增强整体稳固度。</w:t>
              <w:br/>
              <w:t>• 托盘装载：根据托盘规格（如欧标1.2mx0.8m或美标1.2mx1.0m），通常采用“双排并列”或“一纵一横”交叉错位方向推入，以确保最大化利用2.35米的内宽。</w:t>
            </w:r>
          </w:p>
        </w:tc>
        <w:tc>
          <w:tcPr>
            <w:tcW w:type="dxa" w:w="446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• 40'GP高度（内高2.39米）较低，重码时需注意单箱耐压强度。</w:t>
              <w:br/>
              <w:t>• 方向选择：若纸箱有印刷“向上”箭头，绝对不允许侧放或倒置；优先保证长度方向塞满，尾部留空需做防倾倒处理。</w:t>
            </w:r>
          </w:p>
        </w:tc>
      </w:tr>
      <w:tr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5F8FA"/>
          </w:tcPr>
          <w:p>
            <w:pPr>
              <w:jc w:val="center"/>
            </w:pPr>
            <w:r>
              <w:rPr>
                <w:sz w:val="18"/>
              </w:rPr>
              <w:t>干货高柜</w:t>
              <w:br/>
              <w:t>(40'HQ / 45'HQ)</w:t>
            </w:r>
          </w:p>
        </w:tc>
        <w:tc>
          <w:tcPr>
            <w:tcW w:type="dxa" w:w="316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5F8FA"/>
          </w:tcPr>
          <w:p>
            <w:pPr>
              <w:jc w:val="left"/>
            </w:pPr>
            <w:r>
              <w:rPr>
                <w:sz w:val="18"/>
              </w:rPr>
              <w:t>1. 机械+人工混合装载</w:t>
              <w:br/>
              <w:t>2. 高位托盘或双层打托（Double Stack）</w:t>
            </w:r>
          </w:p>
        </w:tc>
        <w:tc>
          <w:tcPr>
            <w:tcW w:type="dxa" w:w="54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5F8FA"/>
          </w:tcPr>
          <w:p>
            <w:pPr>
              <w:jc w:val="left"/>
            </w:pPr>
            <w:r>
              <w:rPr>
                <w:sz w:val="18"/>
              </w:rPr>
              <w:t>• 高度方向：由于内高达到2.698米，装货时方向多为“垂直向上高密度堆叠”。通常在顶部留出空间后，最后两排需要人工踩在梯子上或使用高位叉车完成封顶。</w:t>
              <w:br/>
              <w:t>• 托盘货物：经常采用“双层上下叠放”方式，下层托盘货物必须具备高承重力。</w:t>
            </w:r>
          </w:p>
        </w:tc>
        <w:tc>
          <w:tcPr>
            <w:tcW w:type="dxa" w:w="446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5F8FA"/>
          </w:tcPr>
          <w:p>
            <w:pPr>
              <w:jc w:val="left"/>
            </w:pPr>
            <w:r>
              <w:rPr>
                <w:sz w:val="18"/>
              </w:rPr>
              <w:t>• HQ的核心优势在“高度”。装货时方向规划重点是“纵向层数”。例如高度为1.2米的货物，GP只能装1层（剩余高度不够），而HQ可以重叠装2层，空间利用率极大提升。</w:t>
            </w:r>
          </w:p>
        </w:tc>
      </w:tr>
      <w:tr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center"/>
            </w:pPr>
            <w:r>
              <w:rPr>
                <w:sz w:val="18"/>
              </w:rPr>
              <w:t>冷藏集装箱</w:t>
              <w:br/>
              <w:t>(20'RF / 40'RH)</w:t>
            </w:r>
          </w:p>
        </w:tc>
        <w:tc>
          <w:tcPr>
            <w:tcW w:type="dxa" w:w="316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1. 严格打托装载（优先）</w:t>
              <w:br/>
              <w:t>2. 散装（必须留出风道）</w:t>
            </w:r>
          </w:p>
        </w:tc>
        <w:tc>
          <w:tcPr>
            <w:tcW w:type="dxa" w:w="54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• 气流方向：装货方向必须顺应底部的T型格栅导轨（地板纵向凹槽）。货物绝对不能打横封死格栅。</w:t>
              <w:br/>
              <w:t>• 堆码高度：装货的垂直方向必须绝对低于内壁上喷涂的红色制冷限制线（Load Line）。</w:t>
              <w:br/>
              <w:t>• 前后排列：货物必须覆盖整个地板表面。如果货物不足，必须在尾部空地板上铺设纸皮或纸箱封底，防止冷风“短路”直接回流。</w:t>
            </w:r>
          </w:p>
        </w:tc>
        <w:tc>
          <w:tcPr>
            <w:tcW w:type="dxa" w:w="446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jc w:val="left"/>
            </w:pPr>
            <w:r>
              <w:rPr>
                <w:sz w:val="18"/>
              </w:rPr>
              <w:t>• 核心区别：普通箱追求“塞满无缝”，冷箱追求“风路畅通”。</w:t>
              <w:br/>
              <w:t>• 如果装载方向错误（如把托盘横放堵住地沟），冷气无法到达货柜尾部，会导致尾部温度飙升，货物腐烂。</w:t>
              <w:br/>
              <w:t>• 严禁箱内货物超出红线导致冷风在顶部短路回风。</w:t>
            </w:r>
          </w:p>
        </w:tc>
      </w:tr>
      <w:tr>
        <w:tc>
          <w:tcPr>
            <w:tcW w:type="dxa" w:w="18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5F8FA"/>
          </w:tcPr>
          <w:p>
            <w:pPr>
              <w:jc w:val="center"/>
            </w:pPr>
            <w:r>
              <w:rPr>
                <w:sz w:val="18"/>
              </w:rPr>
              <w:t>开顶箱 / 框架箱</w:t>
              <w:br/>
              <w:t>(OT / FR)</w:t>
              <w:br/>
              <w:t>*(补充特殊箱)</w:t>
            </w:r>
          </w:p>
        </w:tc>
        <w:tc>
          <w:tcPr>
            <w:tcW w:type="dxa" w:w="3168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5F8FA"/>
          </w:tcPr>
          <w:p>
            <w:pPr>
              <w:jc w:val="left"/>
            </w:pPr>
            <w:r>
              <w:rPr>
                <w:sz w:val="18"/>
              </w:rPr>
              <w:t>1. 吊车垂直吊装（Top-loading）</w:t>
              <w:br/>
              <w:t>2. 叉车侧面推入（Side-loading）</w:t>
            </w:r>
          </w:p>
        </w:tc>
        <w:tc>
          <w:tcPr>
            <w:tcW w:type="dxa" w:w="5472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5F8FA"/>
          </w:tcPr>
          <w:p>
            <w:pPr>
              <w:jc w:val="left"/>
            </w:pPr>
            <w:r>
              <w:rPr>
                <w:sz w:val="18"/>
              </w:rPr>
              <w:t>• 开顶箱：货物从顶部由吊车垂直放下，通常装载超高、超重、无法从常规货柜门推进的重型设备。</w:t>
              <w:br/>
              <w:t>• 框架箱：没有侧壁和顶部，装货方向可以从“左、右、上”三个方向进行交叉进车和固定。</w:t>
            </w:r>
          </w:p>
        </w:tc>
        <w:tc>
          <w:tcPr>
            <w:tcW w:type="dxa" w:w="4464"/>
            <w:tcMar>
              <w:top w:w="100" w:type="dxa"/>
              <w:bottom w:w="100" w:type="dxa"/>
              <w:left w:w="120" w:type="dxa"/>
              <w:right w:w="120" w:type="dxa"/>
            </w:tcMar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fill="F5F8FA"/>
          </w:tcPr>
          <w:p>
            <w:pPr>
              <w:jc w:val="left"/>
            </w:pPr>
            <w:r>
              <w:rPr>
                <w:sz w:val="18"/>
              </w:rPr>
              <w:t>• 装货方向摆脱了“集装箱门开尺寸”的限制。</w:t>
              <w:br/>
              <w:t>• 重点在于装载后的重心配备与高强度的钢丝绳索具绑扎加固（Lashing），防止公路及海运途中由于受力方向改变而发生侧翻。</w:t>
            </w:r>
          </w:p>
        </w:tc>
      </w:tr>
    </w:tbl>
    <w:sectPr w:rsidR="00FC693F" w:rsidRPr="0006063C" w:rsidSect="00034616">
      <w:pgSz w:w="16834" w:h="1190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